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2D" w:rsidRPr="00606BCD" w:rsidRDefault="00FF0F2D" w:rsidP="00FF0F2D">
      <w:pPr>
        <w:widowControl/>
        <w:shd w:val="clear" w:color="auto" w:fill="FFFFFF"/>
        <w:rPr>
          <w:rFonts w:ascii="黑体" w:eastAsia="黑体" w:hAnsi="黑体" w:cs="宋体"/>
          <w:b/>
          <w:bCs/>
          <w:color w:val="000000"/>
          <w:spacing w:val="8"/>
          <w:kern w:val="0"/>
          <w:sz w:val="27"/>
          <w:szCs w:val="27"/>
        </w:rPr>
      </w:pPr>
      <w:r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(</w:t>
      </w:r>
      <w:r w:rsidRPr="00606BCD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工程</w:t>
      </w:r>
      <w:r w:rsidRPr="00606BCD">
        <w:rPr>
          <w:rFonts w:ascii="黑体" w:eastAsia="黑体" w:hAnsi="黑体" w:cs="宋体"/>
          <w:b/>
          <w:bCs/>
          <w:color w:val="000000"/>
          <w:spacing w:val="8"/>
          <w:kern w:val="0"/>
          <w:sz w:val="27"/>
          <w:szCs w:val="27"/>
        </w:rPr>
        <w:t>类</w:t>
      </w:r>
      <w:r w:rsidRPr="00606BCD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摘要</w:t>
      </w:r>
      <w:r w:rsidRPr="00606BCD">
        <w:rPr>
          <w:rFonts w:ascii="黑体" w:eastAsia="黑体" w:hAnsi="黑体" w:cs="宋体"/>
          <w:b/>
          <w:bCs/>
          <w:color w:val="000000"/>
          <w:spacing w:val="8"/>
          <w:kern w:val="0"/>
          <w:sz w:val="27"/>
          <w:szCs w:val="27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0F2D" w:rsidTr="007A09D2">
        <w:tc>
          <w:tcPr>
            <w:tcW w:w="8296" w:type="dxa"/>
          </w:tcPr>
          <w:p w:rsidR="00FF0F2D" w:rsidRPr="00864DCC" w:rsidRDefault="00FF0F2D" w:rsidP="007A09D2">
            <w:pPr>
              <w:autoSpaceDE w:val="0"/>
              <w:autoSpaceDN w:val="0"/>
              <w:adjustRightInd w:val="0"/>
              <w:ind w:firstLineChars="50" w:firstLine="120"/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</w:pPr>
            <w:r w:rsidRPr="00864DCC"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  <w:t>Understanding Service Integration of Online</w:t>
            </w:r>
            <w:r w:rsidRPr="00864DCC">
              <w:rPr>
                <w:rFonts w:ascii="NimbusRomNo9L-Regu" w:hAnsi="NimbusRomNo9L-Regu" w:cs="NimbusRomNo9L-Regu" w:hint="eastAsia"/>
                <w:b/>
                <w:kern w:val="0"/>
                <w:sz w:val="24"/>
                <w:szCs w:val="24"/>
              </w:rPr>
              <w:t xml:space="preserve"> </w:t>
            </w:r>
            <w:r w:rsidRPr="00864DCC"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  <w:t>Social Networks: A Data-Driven Study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firstLineChars="100" w:firstLine="210"/>
              <w:rPr>
                <w:rFonts w:ascii="NimbusRomNo9L-Medi" w:hAnsi="NimbusRomNo9L-Medi" w:cs="NimbusRomNo9L-Medi"/>
                <w:kern w:val="0"/>
                <w:szCs w:val="21"/>
              </w:rPr>
            </w:pPr>
          </w:p>
          <w:p w:rsidR="00FF0F2D" w:rsidRPr="00825174" w:rsidRDefault="00FF0F2D" w:rsidP="007A09D2">
            <w:pPr>
              <w:autoSpaceDE w:val="0"/>
              <w:autoSpaceDN w:val="0"/>
              <w:adjustRightInd w:val="0"/>
              <w:ind w:firstLineChars="200" w:firstLine="480"/>
              <w:rPr>
                <w:rFonts w:ascii="NimbusRomNo9L-Medi" w:hAnsi="NimbusRomNo9L-Medi" w:cs="NimbusRomNo9L-Medi"/>
                <w:kern w:val="0"/>
                <w:sz w:val="24"/>
                <w:szCs w:val="24"/>
              </w:rPr>
            </w:pP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The cross-site linking function is widely adopted by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online social networks (OSNs). This function allows a user to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link her account on one OSN to her accounts on other OSNs.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Thus, users are able to sign in with the linked accounts, share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contents among these accounts and import friends from them. It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leads to the service integration of different OSNs. This integration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not only provides convenience for users to manage accounts of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different OSNs, but also introduces usefulness to OSNs that adopt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the cross-site linking function. In this paper, we investigate this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usefulness based on users’ data collected from a popular OSN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called Medium. We conduct a thorough analysis on its social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graph, and find that the service integration brought by the cross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site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linking function is able to change Medium’s social graph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structure and attract a large number of new users. However,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almost none of the new users would become high PageRank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users (PageRank is used to measure a user’s influence in an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OSN). To solve this problem, we build a machine-learning-based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model to predict high PageRank users in Medium based on their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Twitter data only. This model achieves a high F1-score of 0.942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and a high area under the curve (AUC) of 0.986. Based on it,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we design a system to assist new OSNs to identify and attract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high PageRank users from other well-established OSNs through</w:t>
            </w:r>
            <w:r w:rsidRPr="00825174">
              <w:rPr>
                <w:rFonts w:ascii="NimbusRomNo9L-Medi" w:hAnsi="NimbusRomNo9L-Medi" w:cs="NimbusRomNo9L-Medi" w:hint="eastAsia"/>
                <w:kern w:val="0"/>
                <w:sz w:val="24"/>
                <w:szCs w:val="24"/>
              </w:rPr>
              <w:t xml:space="preserve"> </w:t>
            </w:r>
            <w:r w:rsidRPr="00825174">
              <w:rPr>
                <w:rFonts w:ascii="NimbusRomNo9L-Medi" w:hAnsi="NimbusRomNo9L-Medi" w:cs="NimbusRomNo9L-Medi"/>
                <w:kern w:val="0"/>
                <w:sz w:val="24"/>
                <w:szCs w:val="24"/>
              </w:rPr>
              <w:t>the cross-site linking function.</w:t>
            </w:r>
          </w:p>
        </w:tc>
      </w:tr>
    </w:tbl>
    <w:p w:rsidR="00FF0F2D" w:rsidRDefault="00FF0F2D" w:rsidP="00FF0F2D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FF0F2D" w:rsidRPr="00C32998" w:rsidRDefault="00FF0F2D" w:rsidP="00FF0F2D">
      <w:pPr>
        <w:widowControl/>
        <w:shd w:val="clear" w:color="auto" w:fill="FFFFFF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（</w:t>
      </w:r>
      <w:r w:rsidRPr="00C32998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医学</w:t>
      </w:r>
      <w:r w:rsidRPr="00C32998">
        <w:rPr>
          <w:rFonts w:ascii="黑体" w:eastAsia="黑体" w:hAnsi="黑体" w:cs="宋体"/>
          <w:b/>
          <w:bCs/>
          <w:color w:val="000000"/>
          <w:spacing w:val="8"/>
          <w:kern w:val="0"/>
          <w:sz w:val="27"/>
          <w:szCs w:val="27"/>
        </w:rPr>
        <w:t>类</w:t>
      </w:r>
      <w:r w:rsidRPr="00C32998"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摘要</w:t>
      </w:r>
      <w:r>
        <w:rPr>
          <w:rFonts w:ascii="黑体" w:eastAsia="黑体" w:hAnsi="黑体" w:cs="宋体" w:hint="eastAsia"/>
          <w:b/>
          <w:bCs/>
          <w:color w:val="000000"/>
          <w:spacing w:val="8"/>
          <w:kern w:val="0"/>
          <w:sz w:val="27"/>
          <w:szCs w:val="27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0F2D" w:rsidTr="007A09D2">
        <w:tc>
          <w:tcPr>
            <w:tcW w:w="8296" w:type="dxa"/>
          </w:tcPr>
          <w:p w:rsidR="00FF0F2D" w:rsidRPr="00864DCC" w:rsidRDefault="00FF0F2D" w:rsidP="007A09D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</w:pPr>
            <w:r w:rsidRPr="00864DCC"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  <w:t>Early Transmission Dynamics in Wuhan, China, of Novel Coronavirus–Infected</w:t>
            </w:r>
            <w:r>
              <w:rPr>
                <w:rFonts w:ascii="NimbusRomNo9L-Regu" w:hAnsi="NimbusRomNo9L-Regu" w:cs="NimbusRomNo9L-Regu" w:hint="eastAsia"/>
                <w:b/>
                <w:kern w:val="0"/>
                <w:sz w:val="24"/>
                <w:szCs w:val="24"/>
              </w:rPr>
              <w:t xml:space="preserve"> </w:t>
            </w:r>
            <w:r w:rsidRPr="00864DCC">
              <w:rPr>
                <w:rFonts w:ascii="NimbusRomNo9L-Regu" w:hAnsi="NimbusRomNo9L-Regu" w:cs="NimbusRomNo9L-Regu"/>
                <w:b/>
                <w:kern w:val="0"/>
                <w:sz w:val="24"/>
                <w:szCs w:val="24"/>
              </w:rPr>
              <w:t>Pneumonia</w:t>
            </w:r>
          </w:p>
          <w:p w:rsidR="00FF0F2D" w:rsidRPr="00400DE1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hAnsi="Times New Roman"/>
                <w:b/>
                <w:szCs w:val="21"/>
              </w:rPr>
            </w:pP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BACKGROUND 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The initial cases of novel coronavirus (2019-nCoV)–infected pneumonia (NCIP) occurred</w:t>
            </w: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in Wuhan, Hubei Province, China, in December 2019 and January 2020. We</w:t>
            </w: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analyzed data on the first 425 confirmed cases in Wuhan to determine the </w:t>
            </w:r>
          </w:p>
          <w:p w:rsidR="00FF0F2D" w:rsidRPr="00825174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epidemiologic</w:t>
            </w: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characteristics of NCIP.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METHODS  </w:t>
            </w:r>
          </w:p>
          <w:p w:rsidR="00FF0F2D" w:rsidRPr="00864DCC" w:rsidRDefault="00FF0F2D" w:rsidP="007A09D2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We collected information on demographic characteristics, exposure history, and</w:t>
            </w:r>
            <w:r>
              <w:rPr>
                <w:rFonts w:ascii="Times New Roman" w:eastAsia="OTNEJMQuadraat" w:hAnsi="Times New Roman" w:cs="Times New Roman" w:hint="eastAsia"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illness timelines of laboratory-confirmed cases of NCIP that had been reported by January 22, 2020. We described characteristics of the cases and estimated the key epidemiologic time-delay distributions. In the early period of exponential growth, we estimated the epidemic doubling time and the basic reproductive number.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RESULTS 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Chars="228" w:left="599" w:hangingChars="50" w:hanging="120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Among the first 425 patients with confir</w:t>
            </w:r>
            <w:r>
              <w:rPr>
                <w:rFonts w:ascii="Times New Roman" w:eastAsia="OTNEJMQuadraat" w:hAnsi="Times New Roman" w:cs="Times New Roman"/>
                <w:sz w:val="24"/>
                <w:szCs w:val="24"/>
              </w:rPr>
              <w:t>med NCIP, the median age was 59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and 56% were male. The majority of cases (55%) with onset before January 1,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lastRenderedPageBreak/>
              <w:t xml:space="preserve">2020, were linked to the Huanan Seafood Wholesale Market, as compared with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8.6% of the subsequent cases. The mean incubation period was 5.2 days (95%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confidence interval [CI], 4.1 to 7.0), with the 95th percentile of the distribution at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12.5 days. In its early stages, the epidemic doubled in size every 7.4 days. With a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mean serial interval of 7.5 days (95% CI, 5.3 to 19), the basic reproductive number </w:t>
            </w:r>
          </w:p>
          <w:p w:rsidR="00FF0F2D" w:rsidRPr="00825174" w:rsidRDefault="00FF0F2D" w:rsidP="007A09D2">
            <w:pPr>
              <w:autoSpaceDE w:val="0"/>
              <w:autoSpaceDN w:val="0"/>
              <w:adjustRightInd w:val="0"/>
              <w:ind w:left="602" w:hanging="602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was estimated to be 2.2 (95% CI, 1.4 to 3.9).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CONCLUSIONS 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Chars="228" w:left="599" w:hangingChars="50" w:hanging="120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On the basis of this information, there is evidence tha</w:t>
            </w:r>
            <w:r>
              <w:rPr>
                <w:rFonts w:ascii="Times New Roman" w:eastAsia="OTNEJMQuadraat" w:hAnsi="Times New Roman" w:cs="Times New Roman"/>
                <w:sz w:val="24"/>
                <w:szCs w:val="24"/>
              </w:rPr>
              <w:t>t human-to-human</w:t>
            </w:r>
            <w:r>
              <w:rPr>
                <w:rFonts w:ascii="Times New Roman" w:eastAsia="OTNEJMQuadraat" w:hAnsi="Times New Roman" w:cs="Times New Roman" w:hint="eastAsia"/>
                <w:sz w:val="24"/>
                <w:szCs w:val="24"/>
              </w:rPr>
              <w:t xml:space="preserve">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transmission</w:t>
            </w:r>
            <w:r w:rsidRPr="0082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has occurred among close contacts since the middle of December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2019. Considerable</w:t>
            </w:r>
            <w:r w:rsidRPr="0082517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efforts to reduce transmission will be required to control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outbreaks if similar dynamics apply elsewhere. Measures to prevent or reduce </w:t>
            </w:r>
          </w:p>
          <w:p w:rsidR="00FF0F2D" w:rsidRDefault="00FF0F2D" w:rsidP="007A09D2">
            <w:pPr>
              <w:autoSpaceDE w:val="0"/>
              <w:autoSpaceDN w:val="0"/>
              <w:adjustRightInd w:val="0"/>
              <w:ind w:left="602" w:hanging="602"/>
              <w:jc w:val="distribute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 xml:space="preserve">transmission should be implemented in populations at risk. (Funded by the Ministry </w:t>
            </w:r>
          </w:p>
          <w:p w:rsidR="00FF0F2D" w:rsidRPr="00825174" w:rsidRDefault="00FF0F2D" w:rsidP="007A09D2">
            <w:pPr>
              <w:autoSpaceDE w:val="0"/>
              <w:autoSpaceDN w:val="0"/>
              <w:adjustRightInd w:val="0"/>
              <w:ind w:left="602" w:hanging="602"/>
              <w:jc w:val="left"/>
              <w:rPr>
                <w:rFonts w:ascii="Times New Roman" w:eastAsia="OTNEJMQuadraat" w:hAnsi="Times New Roman" w:cs="Times New Roman"/>
                <w:sz w:val="24"/>
                <w:szCs w:val="24"/>
              </w:rPr>
            </w:pPr>
            <w:r w:rsidRPr="00825174">
              <w:rPr>
                <w:rFonts w:ascii="Times New Roman" w:eastAsia="OTNEJMQuadraat" w:hAnsi="Times New Roman" w:cs="Times New Roman"/>
                <w:sz w:val="24"/>
                <w:szCs w:val="24"/>
              </w:rPr>
              <w:t>of Science and Technology of China and others.)</w:t>
            </w:r>
            <w:r w:rsidRPr="00825174">
              <w:rPr>
                <w:rFonts w:ascii="Times New Roman" w:eastAsia="宋体" w:hAnsi="Times New Roman" w:cs="Times New Roman"/>
                <w:b/>
                <w:bCs/>
                <w:color w:val="FF0000"/>
                <w:spacing w:val="8"/>
                <w:kern w:val="0"/>
                <w:sz w:val="24"/>
                <w:szCs w:val="24"/>
              </w:rPr>
              <w:br w:type="page"/>
            </w:r>
          </w:p>
        </w:tc>
      </w:tr>
    </w:tbl>
    <w:p w:rsidR="00E12A62" w:rsidRPr="00FF0F2D" w:rsidRDefault="00E12A62">
      <w:bookmarkStart w:id="0" w:name="_GoBack"/>
      <w:bookmarkEnd w:id="0"/>
    </w:p>
    <w:sectPr w:rsidR="00E12A62" w:rsidRPr="00FF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59" w:rsidRDefault="00661359" w:rsidP="00FF0F2D">
      <w:r>
        <w:separator/>
      </w:r>
    </w:p>
  </w:endnote>
  <w:endnote w:type="continuationSeparator" w:id="0">
    <w:p w:rsidR="00661359" w:rsidRDefault="00661359" w:rsidP="00F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OTNEJMQuadraa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59" w:rsidRDefault="00661359" w:rsidP="00FF0F2D">
      <w:r>
        <w:separator/>
      </w:r>
    </w:p>
  </w:footnote>
  <w:footnote w:type="continuationSeparator" w:id="0">
    <w:p w:rsidR="00661359" w:rsidRDefault="00661359" w:rsidP="00FF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0C"/>
    <w:rsid w:val="00181F0C"/>
    <w:rsid w:val="005F7CB6"/>
    <w:rsid w:val="00661359"/>
    <w:rsid w:val="00E12A62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709C5-8489-49A4-B89D-CDB72B9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F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F2D"/>
    <w:rPr>
      <w:sz w:val="18"/>
      <w:szCs w:val="18"/>
    </w:rPr>
  </w:style>
  <w:style w:type="table" w:styleId="a7">
    <w:name w:val="Table Grid"/>
    <w:basedOn w:val="a1"/>
    <w:uiPriority w:val="59"/>
    <w:rsid w:val="00FF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Yellow</cp:lastModifiedBy>
  <cp:revision>2</cp:revision>
  <dcterms:created xsi:type="dcterms:W3CDTF">2020-09-15T02:52:00Z</dcterms:created>
  <dcterms:modified xsi:type="dcterms:W3CDTF">2020-09-15T02:52:00Z</dcterms:modified>
</cp:coreProperties>
</file>