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atLeast"/>
        <w:jc w:val="center"/>
        <w:rPr>
          <w:rFonts w:hint="eastAsia" w:ascii="Helvetica" w:hAnsi="Helvetica" w:eastAsia="宋体" w:cs="Helvetica"/>
          <w:color w:val="333333"/>
          <w:kern w:val="0"/>
          <w:sz w:val="20"/>
          <w:szCs w:val="20"/>
        </w:rPr>
      </w:pPr>
      <w:bookmarkStart w:id="5" w:name="_GoBack"/>
      <w:bookmarkEnd w:id="5"/>
      <w:r>
        <w:rPr>
          <w:rFonts w:ascii="Helvetica" w:hAnsi="Helvetica" w:eastAsia="宋体" w:cs="Helvetica"/>
          <w:color w:val="333333"/>
          <w:kern w:val="0"/>
          <w:sz w:val="20"/>
          <w:szCs w:val="20"/>
        </w:rPr>
        <w:t>工程管理硕士（MEM）专业学位工业工程与管理领域研究生指导性培养方案</w:t>
      </w:r>
    </w:p>
    <w:p>
      <w:pPr>
        <w:widowControl/>
        <w:shd w:val="clear" w:color="auto" w:fill="FFFFFF"/>
        <w:spacing w:line="320" w:lineRule="atLeast"/>
        <w:jc w:val="center"/>
        <w:rPr>
          <w:rFonts w:ascii="Helvetica" w:hAnsi="Helvetica" w:eastAsia="宋体" w:cs="Helvetica"/>
          <w:color w:val="333333"/>
          <w:kern w:val="0"/>
          <w:sz w:val="20"/>
          <w:szCs w:val="20"/>
        </w:rPr>
      </w:pPr>
      <w:r>
        <w:rPr>
          <w:rFonts w:ascii="Helvetica" w:hAnsi="Helvetica" w:eastAsia="宋体" w:cs="Helvetica"/>
          <w:color w:val="333333"/>
          <w:kern w:val="0"/>
          <w:sz w:val="14"/>
        </w:rPr>
        <w:t>2021.06.17</w:t>
      </w:r>
    </w:p>
    <w:p>
      <w:pPr>
        <w:widowControl/>
        <w:shd w:val="clear" w:color="auto" w:fill="FFFFFF"/>
        <w:spacing w:line="260" w:lineRule="atLeast"/>
        <w:jc w:val="center"/>
        <w:rPr>
          <w:rFonts w:ascii="Helvetica" w:hAnsi="Helvetica" w:eastAsia="宋体" w:cs="Helvetica"/>
          <w:color w:val="333333"/>
          <w:kern w:val="0"/>
          <w:sz w:val="14"/>
          <w:szCs w:val="14"/>
        </w:rPr>
      </w:pPr>
      <w:r>
        <w:rPr>
          <w:rFonts w:hint="eastAsia" w:ascii="黑体" w:hAnsi="黑体" w:eastAsia="黑体" w:cs="Helvetica"/>
          <w:b/>
          <w:bCs/>
          <w:color w:val="333333"/>
          <w:kern w:val="0"/>
          <w:sz w:val="19"/>
        </w:rPr>
        <w:t>（暂定执行期：2021-2024级）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Helvetica"/>
          <w:color w:val="333333"/>
          <w:sz w:val="16"/>
          <w:szCs w:val="16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前言：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本文件用于指导有关培养单位参照制定工业工程与管理领域（125603）工程管理硕士培养方案，相关要求主要针对招收应届本科生的项目。而对仅招收有三年及以上工作经历的本领域MEM项目，各培养单位可参考本文件有关要求制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一、规范性引用文件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bookmarkStart w:id="0" w:name="OLE_LINK1"/>
      <w:bookmarkEnd w:id="0"/>
      <w:bookmarkStart w:id="1" w:name="OLE_LINK2"/>
      <w:bookmarkEnd w:id="1"/>
      <w:r>
        <w:rPr>
          <w:rFonts w:hint="eastAsia" w:cs="Helvetica"/>
          <w:color w:val="333333"/>
          <w:sz w:val="16"/>
          <w:szCs w:val="16"/>
        </w:rPr>
        <w:t>（一）工程管理硕士专业学位研究生指导性培养方案（学位办[2011]34号）；</w:t>
      </w:r>
      <w:bookmarkStart w:id="2" w:name="OLE_LINK5"/>
      <w:bookmarkEnd w:id="2"/>
      <w:bookmarkStart w:id="3" w:name="OLE_LINK3"/>
      <w:bookmarkEnd w:id="3"/>
      <w:bookmarkStart w:id="4" w:name="OLE_LINK4"/>
      <w:bookmarkEnd w:id="4"/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（二）工程管理硕士专业学位基本要求（试行）（工程管理教指委[2014]1号）。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二、培养目标及基本要求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培养掌握马克思主义基本原理、中国特色社会主义理论体系及习近平新时代中国特色社会主义思想，具备良好的政治素质和职业道德，掌握系统规划与设计、定量分析与评价、管理优化与决策等专业知识和能力，具备系统化思维、批判性精神、创新意识、战略眼光、国际视野、团队合作与领导力的高层次、复合型工程管理人才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三、培养方式</w:t>
      </w:r>
    </w:p>
    <w:p>
      <w:pPr>
        <w:pStyle w:val="2"/>
        <w:shd w:val="clear" w:color="auto" w:fill="FFFFFF"/>
        <w:spacing w:before="0" w:beforeAutospacing="0" w:after="0" w:afterAutospacing="0"/>
        <w:ind w:firstLine="32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（一）学习年限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学习年限一般为2-3年。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（二）培养环节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包括理论课程教学、实习实践教学（含专业实践、企业实习等）和论文工作，坚持全面育人。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理论课程教学方法鼓励运用团队学习、案例分析、现场研究、项目训练等，注重定量分析能力和创造性解决实际问题能力的培养。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全日制研究生累计实习实践教学时间不少于半年，鼓励产教融合，突出创新创业意识和能力培养，可结合课程教学并设置学分。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论文指导一般应根据研究方向实行双导师制（其中一位来自对口行业），或成立由学校教师和行业专家组成的指导小组。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四、课程设置及要求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课程分为公共课、专业学位课和专业选修课三类，总计要求不低于30学分。课程设置采用模块方式，应覆盖以下模块：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（一）公共课程（政治、外语等）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（二）专业学位课(包括类别核心课程和领域核心课程)（必修，16学分）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“类别核心课程”指工程管理硕士专业学位类别（代码1256）的核心课程，“领域核心课程”指工业工程与管理领域（代码125603）的核心课程。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1.类别核心课程（至少6选3，6学分）：应对照教指委颁布的课程大纲，开设不少于3门下列课程。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《工程管理导论》（2学分）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《工程经济学》（2学分）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《系统工程》（2学分）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《定量分析：模型与方法》（2学分）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《质量与可靠性管理》（2学分）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《工程信息管理》（2学分）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2.领域核心课程（至少8选5，10学分）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《运营与管理》（2学分）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《供应链与物流管理》（2学分）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《人因与设计》（2学分）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55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《工程系统决策与优化》（2学分）    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《大数据分析》（2学分）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   《智能技术与应用》（2 学分）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000000"/>
          <w:sz w:val="16"/>
          <w:szCs w:val="16"/>
        </w:rPr>
        <w:t>《领导力与沟通》（2学分）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000000"/>
          <w:sz w:val="16"/>
          <w:szCs w:val="16"/>
        </w:rPr>
        <w:t>《工程系统建模与仿真》（2学分）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（三）专业选修课程（不低于8学分）</w:t>
      </w:r>
    </w:p>
    <w:p>
      <w:pPr>
        <w:pStyle w:val="2"/>
        <w:shd w:val="clear" w:color="auto" w:fill="FFFFFF"/>
        <w:spacing w:before="0" w:beforeAutospacing="0" w:after="0" w:afterAutospacing="0"/>
        <w:ind w:firstLine="32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各校应根据产业发展动态和学校办学特色，突出工程技术及应用，设置专业方向，开设一定数量的选修课程，满足专业选修课学分要求。</w:t>
      </w:r>
    </w:p>
    <w:p>
      <w:pPr>
        <w:pStyle w:val="2"/>
        <w:shd w:val="clear" w:color="auto" w:fill="FFFFFF"/>
        <w:spacing w:before="0" w:beforeAutospacing="0" w:after="0" w:afterAutospacing="0"/>
        <w:ind w:firstLine="32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专业方向的设置建议：</w:t>
      </w:r>
    </w:p>
    <w:p>
      <w:pPr>
        <w:pStyle w:val="6"/>
        <w:shd w:val="clear" w:color="auto" w:fill="FFFFFF"/>
        <w:spacing w:before="0" w:beforeAutospacing="0" w:after="0" w:afterAutospacing="0"/>
        <w:ind w:left="84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Wingdings" w:hAnsi="Wingdings" w:cs="Helvetica"/>
          <w:color w:val="333333"/>
          <w:sz w:val="16"/>
          <w:szCs w:val="16"/>
        </w:rPr>
        <w:t></w:t>
      </w:r>
      <w:r>
        <w:rPr>
          <w:rFonts w:ascii="Times New Roman" w:hAnsi="Times New Roman" w:cs="Times New Roman"/>
          <w:color w:val="333333"/>
          <w:sz w:val="9"/>
          <w:szCs w:val="9"/>
        </w:rPr>
        <w:t>  </w:t>
      </w:r>
      <w:r>
        <w:rPr>
          <w:rFonts w:hint="eastAsia" w:cs="Helvetica"/>
          <w:color w:val="333333"/>
          <w:sz w:val="16"/>
          <w:szCs w:val="16"/>
        </w:rPr>
        <w:t>制造产业管理方向（如智能制造、新型制造等）</w:t>
      </w:r>
    </w:p>
    <w:p>
      <w:pPr>
        <w:pStyle w:val="6"/>
        <w:shd w:val="clear" w:color="auto" w:fill="FFFFFF"/>
        <w:spacing w:before="0" w:beforeAutospacing="0" w:after="0" w:afterAutospacing="0"/>
        <w:ind w:left="84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Wingdings" w:hAnsi="Wingdings" w:cs="Helvetica"/>
          <w:color w:val="333333"/>
          <w:sz w:val="16"/>
          <w:szCs w:val="16"/>
        </w:rPr>
        <w:t></w:t>
      </w:r>
      <w:r>
        <w:rPr>
          <w:rFonts w:ascii="Times New Roman" w:hAnsi="Times New Roman" w:cs="Times New Roman"/>
          <w:color w:val="333333"/>
          <w:sz w:val="9"/>
          <w:szCs w:val="9"/>
        </w:rPr>
        <w:t>  </w:t>
      </w:r>
      <w:r>
        <w:rPr>
          <w:rFonts w:hint="eastAsia" w:cs="Helvetica"/>
          <w:color w:val="333333"/>
          <w:sz w:val="16"/>
          <w:szCs w:val="16"/>
        </w:rPr>
        <w:t>服务产业管理方向（非商业性服务产业）</w:t>
      </w:r>
    </w:p>
    <w:p>
      <w:pPr>
        <w:pStyle w:val="6"/>
        <w:shd w:val="clear" w:color="auto" w:fill="FFFFFF"/>
        <w:spacing w:before="0" w:beforeAutospacing="0" w:after="0" w:afterAutospacing="0"/>
        <w:ind w:left="84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Wingdings" w:hAnsi="Wingdings" w:cs="Helvetica"/>
          <w:color w:val="333333"/>
          <w:sz w:val="16"/>
          <w:szCs w:val="16"/>
        </w:rPr>
        <w:t></w:t>
      </w:r>
      <w:r>
        <w:rPr>
          <w:rFonts w:ascii="Times New Roman" w:hAnsi="Times New Roman" w:cs="Times New Roman"/>
          <w:color w:val="333333"/>
          <w:sz w:val="9"/>
          <w:szCs w:val="9"/>
        </w:rPr>
        <w:t>  </w:t>
      </w:r>
      <w:r>
        <w:rPr>
          <w:rFonts w:hint="eastAsia" w:cs="Helvetica"/>
          <w:color w:val="333333"/>
          <w:sz w:val="16"/>
          <w:szCs w:val="16"/>
        </w:rPr>
        <w:t>服务工程管理方向</w:t>
      </w:r>
    </w:p>
    <w:p>
      <w:pPr>
        <w:pStyle w:val="6"/>
        <w:shd w:val="clear" w:color="auto" w:fill="FFFFFF"/>
        <w:spacing w:before="0" w:beforeAutospacing="0" w:after="0" w:afterAutospacing="0"/>
        <w:ind w:left="84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Wingdings" w:hAnsi="Wingdings" w:cs="Helvetica"/>
          <w:color w:val="333333"/>
          <w:sz w:val="16"/>
          <w:szCs w:val="16"/>
        </w:rPr>
        <w:t></w:t>
      </w:r>
      <w:r>
        <w:rPr>
          <w:rFonts w:ascii="Times New Roman" w:hAnsi="Times New Roman" w:cs="Times New Roman"/>
          <w:color w:val="333333"/>
          <w:sz w:val="9"/>
          <w:szCs w:val="9"/>
        </w:rPr>
        <w:t>  </w:t>
      </w:r>
      <w:r>
        <w:rPr>
          <w:rFonts w:hint="eastAsia" w:cs="Helvetica"/>
          <w:color w:val="333333"/>
          <w:sz w:val="16"/>
          <w:szCs w:val="16"/>
        </w:rPr>
        <w:t>数字经济与新兴产业管理方向</w:t>
      </w:r>
    </w:p>
    <w:p>
      <w:pPr>
        <w:pStyle w:val="2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各校可根据自身特色定位，在充分论证的基础上，自设其他培养方向。教指委将定期发布统计性培养方向目录。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五、学位论文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参照教指委《工程管理硕士（MEM）专业学位论文标准与工作指南》和各培养单位有关要求执行。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ascii="黑体" w:hAnsi="黑体" w:eastAsia="黑体" w:cs="Helvetica"/>
          <w:color w:val="333333"/>
          <w:sz w:val="16"/>
          <w:szCs w:val="16"/>
        </w:rPr>
        <w:t>六、学位授予</w:t>
      </w:r>
    </w:p>
    <w:p>
      <w:pPr>
        <w:pStyle w:val="2"/>
        <w:shd w:val="clear" w:color="auto" w:fill="FFFFFF"/>
        <w:spacing w:before="0" w:beforeAutospacing="0" w:after="0" w:afterAutospacing="0"/>
        <w:ind w:firstLine="310"/>
        <w:rPr>
          <w:rFonts w:ascii="Helvetica" w:hAnsi="Helvetica" w:cs="Helvetica"/>
          <w:color w:val="333333"/>
          <w:sz w:val="14"/>
          <w:szCs w:val="14"/>
        </w:rPr>
      </w:pPr>
      <w:r>
        <w:rPr>
          <w:rFonts w:hint="eastAsia" w:cs="Helvetica"/>
          <w:color w:val="333333"/>
          <w:sz w:val="16"/>
          <w:szCs w:val="16"/>
        </w:rPr>
        <w:t>完成课程学习和实习实践等培养环节，取得规定学分，并通过学位论文答辩者，经学位授予单位学位评定委员会审核，授予工程管理硕士专业学位。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D"/>
    <w:rsid w:val="002F549D"/>
    <w:rsid w:val="00716D04"/>
    <w:rsid w:val="661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da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1355</Words>
  <Characters>1411</Characters>
  <Lines>10</Lines>
  <Paragraphs>3</Paragraphs>
  <TotalTime>1</TotalTime>
  <ScaleCrop>false</ScaleCrop>
  <LinksUpToDate>false</LinksUpToDate>
  <CharactersWithSpaces>1457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2021-10-11T06:38:00Z</dcterms:created>
  <dc:creator>罗格非</dc:creator>
  <cp:lastModifiedBy>sunhuiling</cp:lastModifiedBy>
  <dcterms:modified xsi:type="dcterms:W3CDTF">2023-06-01T06:34:19Z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DC2A7627664B48EDBDEE09D08F81FB0B_13</vt:lpwstr>
  </property>
</Properties>
</file>