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20" w:lineRule="atLeast"/>
        <w:jc w:val="center"/>
        <w:rPr>
          <w:rFonts w:hint="eastAsia" w:ascii="Helvetica" w:hAnsi="Helvetica" w:eastAsia="宋体" w:cs="Helvetica"/>
          <w:b/>
          <w:color w:val="333333"/>
          <w:kern w:val="0"/>
          <w:sz w:val="20"/>
          <w:szCs w:val="20"/>
        </w:rPr>
      </w:pPr>
      <w:bookmarkStart w:id="5" w:name="_GoBack"/>
      <w:bookmarkEnd w:id="5"/>
      <w:r>
        <w:rPr>
          <w:rFonts w:ascii="Helvetica" w:hAnsi="Helvetica" w:eastAsia="宋体" w:cs="Helvetica"/>
          <w:b/>
          <w:color w:val="333333"/>
          <w:kern w:val="0"/>
          <w:szCs w:val="20"/>
        </w:rPr>
        <w:t>工程管理硕士（MEM）专业学位物流工程与管理领域研究生指导性培养方案</w:t>
      </w:r>
    </w:p>
    <w:p>
      <w:pPr>
        <w:widowControl/>
        <w:shd w:val="clear" w:color="auto" w:fill="FFFFFF"/>
        <w:spacing w:line="320" w:lineRule="atLeast"/>
        <w:jc w:val="center"/>
        <w:rPr>
          <w:rFonts w:ascii="Helvetica" w:hAnsi="Helvetica" w:eastAsia="宋体" w:cs="Helvetica"/>
          <w:color w:val="333333"/>
          <w:kern w:val="0"/>
          <w:sz w:val="20"/>
          <w:szCs w:val="20"/>
        </w:rPr>
      </w:pPr>
      <w:r>
        <w:rPr>
          <w:rFonts w:ascii="Helvetica" w:hAnsi="Helvetica" w:eastAsia="宋体" w:cs="Helvetica"/>
          <w:color w:val="333333"/>
          <w:kern w:val="0"/>
          <w:sz w:val="14"/>
        </w:rPr>
        <w:t>2021.06.17</w:t>
      </w:r>
    </w:p>
    <w:p>
      <w:pPr>
        <w:widowControl/>
        <w:shd w:val="clear" w:color="auto" w:fill="FFFFFF"/>
        <w:spacing w:line="260" w:lineRule="atLeast"/>
        <w:jc w:val="center"/>
        <w:rPr>
          <w:rFonts w:hint="eastAsia" w:ascii="Helvetica" w:hAnsi="Helvetica" w:eastAsia="宋体" w:cs="Helvetica"/>
          <w:color w:val="333333"/>
          <w:kern w:val="0"/>
          <w:sz w:val="14"/>
          <w:szCs w:val="14"/>
        </w:rPr>
      </w:pPr>
      <w:r>
        <w:rPr>
          <w:rFonts w:hint="eastAsia" w:ascii="黑体" w:hAnsi="黑体" w:eastAsia="黑体" w:cs="Helvetica"/>
          <w:bCs/>
          <w:color w:val="333333"/>
          <w:kern w:val="0"/>
          <w:sz w:val="19"/>
        </w:rPr>
        <w:t>（暂定执行期：2021-2024级）</w:t>
      </w:r>
    </w:p>
    <w:p>
      <w:pPr>
        <w:pStyle w:val="2"/>
        <w:shd w:val="clear" w:color="auto" w:fill="FFFFFF"/>
        <w:spacing w:before="0" w:beforeAutospacing="0" w:after="0" w:afterAutospacing="0"/>
        <w:rPr>
          <w:rFonts w:ascii="Helvetica" w:hAnsi="Helvetica" w:cs="Helvetica"/>
          <w:color w:val="333333"/>
          <w:sz w:val="14"/>
          <w:szCs w:val="14"/>
        </w:rPr>
      </w:pPr>
      <w:r>
        <w:rPr>
          <w:rFonts w:hint="eastAsia" w:ascii="黑体" w:hAnsi="黑体" w:eastAsia="黑体" w:cs="Helvetica"/>
          <w:color w:val="333333"/>
          <w:sz w:val="16"/>
          <w:szCs w:val="16"/>
        </w:rPr>
        <w:t>前言：</w:t>
      </w:r>
    </w:p>
    <w:p>
      <w:pPr>
        <w:pStyle w:val="2"/>
        <w:shd w:val="clear" w:color="auto" w:fill="FFFFFF"/>
        <w:spacing w:before="0" w:beforeAutospacing="0" w:after="0" w:afterAutospacing="0"/>
        <w:rPr>
          <w:rFonts w:ascii="Helvetica" w:hAnsi="Helvetica" w:cs="Helvetica"/>
          <w:color w:val="333333"/>
          <w:sz w:val="14"/>
          <w:szCs w:val="14"/>
        </w:rPr>
      </w:pPr>
      <w:r>
        <w:rPr>
          <w:rFonts w:hint="eastAsia" w:cs="Helvetica"/>
          <w:color w:val="333333"/>
          <w:sz w:val="16"/>
          <w:szCs w:val="16"/>
        </w:rPr>
        <w:t>   本文件用于指导有关培养单位参照制定物流工程与管理领域（125604）工程管理硕士培养方案，相关要求主要针对招收应届本科生的项目。而对仅招收有三年及以上工作经历的本领域MEM项目，各培养单位可参考本文件有关要求制定。</w:t>
      </w:r>
    </w:p>
    <w:p>
      <w:pPr>
        <w:pStyle w:val="2"/>
        <w:shd w:val="clear" w:color="auto" w:fill="FFFFFF"/>
        <w:spacing w:before="0" w:beforeAutospacing="0" w:after="0" w:afterAutospacing="0"/>
        <w:rPr>
          <w:rFonts w:ascii="Helvetica" w:hAnsi="Helvetica" w:cs="Helvetica"/>
          <w:color w:val="333333"/>
          <w:sz w:val="14"/>
          <w:szCs w:val="14"/>
        </w:rPr>
      </w:pPr>
      <w:r>
        <w:rPr>
          <w:rFonts w:hint="eastAsia" w:ascii="黑体" w:hAnsi="黑体" w:eastAsia="黑体" w:cs="Helvetica"/>
          <w:color w:val="333333"/>
          <w:sz w:val="16"/>
          <w:szCs w:val="16"/>
        </w:rPr>
        <w:t>一、规范性引用文件</w:t>
      </w:r>
    </w:p>
    <w:p>
      <w:pPr>
        <w:pStyle w:val="2"/>
        <w:shd w:val="clear" w:color="auto" w:fill="FFFFFF"/>
        <w:spacing w:before="0" w:beforeAutospacing="0" w:after="0" w:afterAutospacing="0"/>
        <w:rPr>
          <w:rFonts w:ascii="Helvetica" w:hAnsi="Helvetica" w:cs="Helvetica"/>
          <w:color w:val="333333"/>
          <w:sz w:val="14"/>
          <w:szCs w:val="14"/>
        </w:rPr>
      </w:pPr>
      <w:bookmarkStart w:id="0" w:name="OLE_LINK1"/>
      <w:bookmarkEnd w:id="0"/>
      <w:bookmarkStart w:id="1" w:name="OLE_LINK2"/>
      <w:bookmarkEnd w:id="1"/>
      <w:r>
        <w:rPr>
          <w:rFonts w:hint="eastAsia" w:cs="Helvetica"/>
          <w:color w:val="333333"/>
          <w:sz w:val="16"/>
          <w:szCs w:val="16"/>
        </w:rPr>
        <w:t>（一）工程管理硕士专业学位研究生指导性培养方案（学位办[2011]34号）；</w:t>
      </w:r>
      <w:bookmarkStart w:id="2" w:name="OLE_LINK3"/>
      <w:bookmarkEnd w:id="2"/>
      <w:bookmarkStart w:id="3" w:name="OLE_LINK4"/>
      <w:bookmarkEnd w:id="3"/>
      <w:bookmarkStart w:id="4" w:name="OLE_LINK5"/>
      <w:bookmarkEnd w:id="4"/>
    </w:p>
    <w:p>
      <w:pPr>
        <w:pStyle w:val="2"/>
        <w:shd w:val="clear" w:color="auto" w:fill="FFFFFF"/>
        <w:spacing w:before="0" w:beforeAutospacing="0" w:after="0" w:afterAutospacing="0"/>
        <w:rPr>
          <w:rFonts w:ascii="Helvetica" w:hAnsi="Helvetica" w:cs="Helvetica"/>
          <w:color w:val="333333"/>
          <w:sz w:val="14"/>
          <w:szCs w:val="14"/>
        </w:rPr>
      </w:pPr>
      <w:r>
        <w:rPr>
          <w:rFonts w:hint="eastAsia" w:cs="Helvetica"/>
          <w:color w:val="333333"/>
          <w:sz w:val="16"/>
          <w:szCs w:val="16"/>
        </w:rPr>
        <w:t>（二）工程管理硕士专业学位基本要求（试行）（工程管理教指委[2014]1号）。</w:t>
      </w:r>
    </w:p>
    <w:p>
      <w:pPr>
        <w:pStyle w:val="2"/>
        <w:shd w:val="clear" w:color="auto" w:fill="FFFFFF"/>
        <w:spacing w:before="0" w:beforeAutospacing="0" w:after="0" w:afterAutospacing="0"/>
        <w:rPr>
          <w:rFonts w:ascii="Helvetica" w:hAnsi="Helvetica" w:cs="Helvetica"/>
          <w:color w:val="333333"/>
          <w:sz w:val="14"/>
          <w:szCs w:val="14"/>
        </w:rPr>
      </w:pPr>
      <w:r>
        <w:rPr>
          <w:rFonts w:hint="eastAsia" w:ascii="黑体" w:hAnsi="黑体" w:eastAsia="黑体" w:cs="Helvetica"/>
          <w:color w:val="333333"/>
          <w:sz w:val="16"/>
          <w:szCs w:val="16"/>
        </w:rPr>
        <w:t>二、培养目标及基本要求</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培养掌握马克思主义基本原理、中国特色社会主义理论体系及习近平新时代中国特色社会主义思想，具备良好的政治素质和职业道德，掌握系统完备的现代工程管理理论与方法和物流与供应链工程领域的专业技术和知识，能独立担负各类物流系统规划设计、模式创新、系统优化、运营管理、评价等工作，具有卓越领导力和宽广的国际视野的复合型高层次物流与供应链工程管理人才。</w:t>
      </w:r>
    </w:p>
    <w:p>
      <w:pPr>
        <w:pStyle w:val="2"/>
        <w:shd w:val="clear" w:color="auto" w:fill="FFFFFF"/>
        <w:spacing w:before="0" w:beforeAutospacing="0" w:after="0" w:afterAutospacing="0"/>
        <w:rPr>
          <w:rFonts w:ascii="Helvetica" w:hAnsi="Helvetica" w:cs="Helvetica"/>
          <w:color w:val="333333"/>
          <w:sz w:val="14"/>
          <w:szCs w:val="14"/>
        </w:rPr>
      </w:pPr>
      <w:r>
        <w:rPr>
          <w:rFonts w:hint="eastAsia" w:ascii="黑体" w:hAnsi="黑体" w:eastAsia="黑体" w:cs="Helvetica"/>
          <w:color w:val="333333"/>
          <w:sz w:val="16"/>
          <w:szCs w:val="16"/>
        </w:rPr>
        <w:t>三、培养方式</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（一）学习年限</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学习年限一般为2-3年。</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（二）培养环节</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包括理论课程教学、实习实践教学（含专业实践、企业实习等）和论文工作，坚持全面育人。</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理论课程教学方法鼓励运用团队学习、案例分析、现场研究、项目训练等，注重定量分析能力和创造性解决实际问题能力的培养。</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全日制研究生累计实习实践教学时间不少于半年，鼓励产教融合，突出创新创业意识和能力培养，可结合课程教学并设置学分。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论文指导一般应根据研究方向实行双导师制（其中一位来自对口行业），或成立由学校教师和行业专家组成的指导小组。</w:t>
      </w:r>
    </w:p>
    <w:p>
      <w:pPr>
        <w:pStyle w:val="2"/>
        <w:shd w:val="clear" w:color="auto" w:fill="FFFFFF"/>
        <w:spacing w:before="0" w:beforeAutospacing="0" w:after="0" w:afterAutospacing="0"/>
        <w:rPr>
          <w:rFonts w:ascii="Helvetica" w:hAnsi="Helvetica" w:cs="Helvetica"/>
          <w:color w:val="333333"/>
          <w:sz w:val="14"/>
          <w:szCs w:val="14"/>
        </w:rPr>
      </w:pPr>
      <w:r>
        <w:rPr>
          <w:rFonts w:hint="eastAsia" w:ascii="黑体" w:hAnsi="黑体" w:eastAsia="黑体" w:cs="Helvetica"/>
          <w:color w:val="333333"/>
          <w:sz w:val="16"/>
          <w:szCs w:val="16"/>
        </w:rPr>
        <w:t>四、课程设置及要求</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课程分为公共课、专业学位课和专业选修课三类，总计要求不低于30学分。课程设置采用模块方式，应覆盖以下模块：</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（一）公共课程（政治、外语等）</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（二）专业学位课(包括：类别核心课程和领域核心课程)（必修，16学分）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“类别核心课程”指工程管理硕士专业学位类别（代码1256）的核心课程，“领域核心课程”指物流工程与管理领域（代码125604）的核心课程。</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1.类别核心课程（至少6选3，6学分）：应对照教指委颁布的课程大纲，开设不少于3门下列课程。</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   《工程管理导论》（2学分）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   《工程经济学》（2学分）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   《系统工程》（2学分）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   《定量分析：模型与方法》（2学分）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   《质量与可靠性管理》（2学分）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   《工程信息管理》（2学分）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2.领域核心课程（至少8选5，10学分）</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   《高等物流学》（3学分）</w:t>
      </w:r>
    </w:p>
    <w:p>
      <w:pPr>
        <w:pStyle w:val="2"/>
        <w:shd w:val="clear" w:color="auto" w:fill="FFFFFF"/>
        <w:spacing w:before="0" w:beforeAutospacing="0" w:after="0" w:afterAutospacing="0"/>
        <w:ind w:firstLine="550"/>
        <w:rPr>
          <w:rFonts w:ascii="Helvetica" w:hAnsi="Helvetica" w:cs="Helvetica"/>
          <w:color w:val="333333"/>
          <w:sz w:val="14"/>
          <w:szCs w:val="14"/>
        </w:rPr>
      </w:pPr>
      <w:r>
        <w:rPr>
          <w:rFonts w:hint="eastAsia" w:cs="Helvetica"/>
          <w:color w:val="333333"/>
          <w:sz w:val="16"/>
          <w:szCs w:val="16"/>
        </w:rPr>
        <w:t>《高等运筹学》（3学分）</w:t>
      </w:r>
    </w:p>
    <w:p>
      <w:pPr>
        <w:pStyle w:val="2"/>
        <w:shd w:val="clear" w:color="auto" w:fill="FFFFFF"/>
        <w:spacing w:before="0" w:beforeAutospacing="0" w:after="0" w:afterAutospacing="0"/>
        <w:ind w:firstLine="550"/>
        <w:rPr>
          <w:rFonts w:ascii="Helvetica" w:hAnsi="Helvetica" w:cs="Helvetica"/>
          <w:color w:val="333333"/>
          <w:sz w:val="14"/>
          <w:szCs w:val="14"/>
        </w:rPr>
      </w:pPr>
      <w:r>
        <w:rPr>
          <w:rFonts w:hint="eastAsia" w:cs="Helvetica"/>
          <w:color w:val="333333"/>
          <w:sz w:val="16"/>
          <w:szCs w:val="16"/>
        </w:rPr>
        <w:t>《高等工程统计学》（3学分）</w:t>
      </w:r>
    </w:p>
    <w:p>
      <w:pPr>
        <w:pStyle w:val="2"/>
        <w:shd w:val="clear" w:color="auto" w:fill="FFFFFF"/>
        <w:spacing w:before="0" w:beforeAutospacing="0" w:after="0" w:afterAutospacing="0"/>
        <w:ind w:firstLine="550"/>
        <w:rPr>
          <w:rFonts w:ascii="Helvetica" w:hAnsi="Helvetica" w:cs="Helvetica"/>
          <w:color w:val="333333"/>
          <w:sz w:val="14"/>
          <w:szCs w:val="14"/>
        </w:rPr>
      </w:pPr>
      <w:r>
        <w:rPr>
          <w:rFonts w:hint="eastAsia" w:cs="Helvetica"/>
          <w:color w:val="333333"/>
          <w:sz w:val="16"/>
          <w:szCs w:val="16"/>
        </w:rPr>
        <w:t>《智慧物流》（2学分）</w:t>
      </w:r>
    </w:p>
    <w:p>
      <w:pPr>
        <w:pStyle w:val="2"/>
        <w:shd w:val="clear" w:color="auto" w:fill="FFFFFF"/>
        <w:spacing w:before="0" w:beforeAutospacing="0" w:after="0" w:afterAutospacing="0"/>
        <w:ind w:firstLine="550"/>
        <w:rPr>
          <w:rFonts w:ascii="Helvetica" w:hAnsi="Helvetica" w:cs="Helvetica"/>
          <w:color w:val="333333"/>
          <w:sz w:val="14"/>
          <w:szCs w:val="14"/>
        </w:rPr>
      </w:pPr>
      <w:r>
        <w:rPr>
          <w:rFonts w:hint="eastAsia" w:cs="Helvetica"/>
          <w:color w:val="333333"/>
          <w:sz w:val="16"/>
          <w:szCs w:val="16"/>
        </w:rPr>
        <w:t>《物流系统规划与优化》（2学分）</w:t>
      </w:r>
    </w:p>
    <w:p>
      <w:pPr>
        <w:pStyle w:val="2"/>
        <w:shd w:val="clear" w:color="auto" w:fill="FFFFFF"/>
        <w:spacing w:before="0" w:beforeAutospacing="0" w:after="0" w:afterAutospacing="0"/>
        <w:ind w:firstLine="550"/>
        <w:rPr>
          <w:rFonts w:ascii="Helvetica" w:hAnsi="Helvetica" w:cs="Helvetica"/>
          <w:color w:val="333333"/>
          <w:sz w:val="14"/>
          <w:szCs w:val="14"/>
        </w:rPr>
      </w:pPr>
      <w:r>
        <w:rPr>
          <w:rFonts w:hint="eastAsia" w:cs="Helvetica"/>
          <w:color w:val="333333"/>
          <w:sz w:val="16"/>
          <w:szCs w:val="16"/>
        </w:rPr>
        <w:t>《物流算法与计算机应用》（2学分）</w:t>
      </w:r>
    </w:p>
    <w:p>
      <w:pPr>
        <w:pStyle w:val="2"/>
        <w:shd w:val="clear" w:color="auto" w:fill="FFFFFF"/>
        <w:spacing w:before="0" w:beforeAutospacing="0" w:after="0" w:afterAutospacing="0"/>
        <w:ind w:firstLine="560"/>
        <w:rPr>
          <w:rFonts w:ascii="Helvetica" w:hAnsi="Helvetica" w:cs="Helvetica"/>
          <w:color w:val="333333"/>
          <w:sz w:val="14"/>
          <w:szCs w:val="14"/>
        </w:rPr>
      </w:pPr>
      <w:r>
        <w:rPr>
          <w:rFonts w:hint="eastAsia" w:cs="Helvetica"/>
          <w:color w:val="000000"/>
          <w:sz w:val="16"/>
          <w:szCs w:val="16"/>
        </w:rPr>
        <w:t>《领导力与沟通》（2学分）</w:t>
      </w:r>
    </w:p>
    <w:p>
      <w:pPr>
        <w:pStyle w:val="2"/>
        <w:shd w:val="clear" w:color="auto" w:fill="FFFFFF"/>
        <w:spacing w:before="0" w:beforeAutospacing="0" w:after="0" w:afterAutospacing="0"/>
        <w:ind w:firstLine="560"/>
        <w:rPr>
          <w:rFonts w:ascii="Helvetica" w:hAnsi="Helvetica" w:cs="Helvetica"/>
          <w:color w:val="333333"/>
          <w:sz w:val="14"/>
          <w:szCs w:val="14"/>
        </w:rPr>
      </w:pPr>
      <w:r>
        <w:rPr>
          <w:rFonts w:hint="eastAsia" w:cs="Helvetica"/>
          <w:color w:val="000000"/>
          <w:sz w:val="16"/>
          <w:szCs w:val="16"/>
        </w:rPr>
        <w:t>《工程系统建模与仿真》（2学分）</w:t>
      </w:r>
      <w:r>
        <w:rPr>
          <w:rFonts w:hint="eastAsia" w:cs="Helvetica"/>
          <w:color w:val="333333"/>
          <w:sz w:val="16"/>
          <w:szCs w:val="16"/>
        </w:rPr>
        <w:t> </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（三）专业选修课程（不低于8学分）</w:t>
      </w:r>
    </w:p>
    <w:p>
      <w:pPr>
        <w:pStyle w:val="2"/>
        <w:shd w:val="clear" w:color="auto" w:fill="FFFFFF"/>
        <w:spacing w:before="0" w:beforeAutospacing="0" w:after="0" w:afterAutospacing="0"/>
        <w:ind w:firstLine="320"/>
        <w:rPr>
          <w:rFonts w:ascii="Helvetica" w:hAnsi="Helvetica" w:cs="Helvetica"/>
          <w:color w:val="333333"/>
          <w:sz w:val="14"/>
          <w:szCs w:val="14"/>
        </w:rPr>
      </w:pPr>
      <w:r>
        <w:rPr>
          <w:rFonts w:hint="eastAsia" w:cs="Helvetica"/>
          <w:color w:val="333333"/>
          <w:sz w:val="16"/>
          <w:szCs w:val="16"/>
        </w:rPr>
        <w:t>各校应根据产业发展动态和学校办学特色，突出工程技术及应用，设置专业方向，开设一定数量的选修课程，满足专业选修课学分要求。</w:t>
      </w:r>
    </w:p>
    <w:p>
      <w:pPr>
        <w:pStyle w:val="2"/>
        <w:shd w:val="clear" w:color="auto" w:fill="FFFFFF"/>
        <w:spacing w:before="0" w:beforeAutospacing="0" w:after="0" w:afterAutospacing="0"/>
        <w:ind w:firstLine="320"/>
        <w:rPr>
          <w:rFonts w:ascii="Helvetica" w:hAnsi="Helvetica" w:cs="Helvetica"/>
          <w:color w:val="333333"/>
          <w:sz w:val="14"/>
          <w:szCs w:val="14"/>
        </w:rPr>
      </w:pPr>
      <w:r>
        <w:rPr>
          <w:rFonts w:hint="eastAsia" w:cs="Helvetica"/>
          <w:color w:val="333333"/>
          <w:sz w:val="16"/>
          <w:szCs w:val="16"/>
        </w:rPr>
        <w:t>专业方向的设置建议：</w:t>
      </w:r>
    </w:p>
    <w:p>
      <w:pPr>
        <w:pStyle w:val="6"/>
        <w:shd w:val="clear" w:color="auto" w:fill="FFFFFF"/>
        <w:spacing w:before="0" w:beforeAutospacing="0" w:after="0" w:afterAutospacing="0"/>
        <w:ind w:left="840"/>
        <w:rPr>
          <w:rFonts w:ascii="Helvetica" w:hAnsi="Helvetica" w:cs="Helvetica"/>
          <w:color w:val="333333"/>
          <w:sz w:val="14"/>
          <w:szCs w:val="14"/>
        </w:rPr>
      </w:pPr>
      <w:r>
        <w:rPr>
          <w:rFonts w:ascii="Wingdings" w:hAnsi="Wingdings" w:cs="Helvetica"/>
          <w:color w:val="333333"/>
          <w:sz w:val="16"/>
          <w:szCs w:val="16"/>
        </w:rPr>
        <w:t></w:t>
      </w:r>
      <w:r>
        <w:rPr>
          <w:rFonts w:ascii="Times New Roman" w:hAnsi="Times New Roman" w:cs="Times New Roman"/>
          <w:color w:val="333333"/>
          <w:sz w:val="9"/>
          <w:szCs w:val="9"/>
        </w:rPr>
        <w:t>  </w:t>
      </w:r>
      <w:r>
        <w:rPr>
          <w:rFonts w:hint="eastAsia" w:cs="Helvetica"/>
          <w:color w:val="333333"/>
          <w:sz w:val="16"/>
          <w:szCs w:val="16"/>
        </w:rPr>
        <w:t>制造物流方向</w:t>
      </w:r>
    </w:p>
    <w:p>
      <w:pPr>
        <w:pStyle w:val="6"/>
        <w:shd w:val="clear" w:color="auto" w:fill="FFFFFF"/>
        <w:spacing w:before="0" w:beforeAutospacing="0" w:after="0" w:afterAutospacing="0"/>
        <w:ind w:left="840"/>
        <w:rPr>
          <w:rFonts w:ascii="Helvetica" w:hAnsi="Helvetica" w:cs="Helvetica"/>
          <w:color w:val="333333"/>
          <w:sz w:val="14"/>
          <w:szCs w:val="14"/>
        </w:rPr>
      </w:pPr>
      <w:r>
        <w:rPr>
          <w:rFonts w:ascii="Wingdings" w:hAnsi="Wingdings" w:cs="Helvetica"/>
          <w:color w:val="333333"/>
          <w:sz w:val="16"/>
          <w:szCs w:val="16"/>
        </w:rPr>
        <w:t></w:t>
      </w:r>
      <w:r>
        <w:rPr>
          <w:rFonts w:ascii="Times New Roman" w:hAnsi="Times New Roman" w:cs="Times New Roman"/>
          <w:color w:val="333333"/>
          <w:sz w:val="9"/>
          <w:szCs w:val="9"/>
        </w:rPr>
        <w:t>  </w:t>
      </w:r>
      <w:r>
        <w:rPr>
          <w:rFonts w:hint="eastAsia" w:cs="Helvetica"/>
          <w:color w:val="333333"/>
          <w:sz w:val="16"/>
          <w:szCs w:val="16"/>
        </w:rPr>
        <w:t>流通物流方向</w:t>
      </w:r>
    </w:p>
    <w:p>
      <w:pPr>
        <w:pStyle w:val="6"/>
        <w:shd w:val="clear" w:color="auto" w:fill="FFFFFF"/>
        <w:spacing w:before="0" w:beforeAutospacing="0" w:after="0" w:afterAutospacing="0"/>
        <w:ind w:left="840"/>
        <w:rPr>
          <w:rFonts w:ascii="Helvetica" w:hAnsi="Helvetica" w:cs="Helvetica"/>
          <w:color w:val="333333"/>
          <w:sz w:val="14"/>
          <w:szCs w:val="14"/>
        </w:rPr>
      </w:pPr>
      <w:r>
        <w:rPr>
          <w:rFonts w:ascii="Wingdings" w:hAnsi="Wingdings" w:cs="Helvetica"/>
          <w:color w:val="333333"/>
          <w:sz w:val="16"/>
          <w:szCs w:val="16"/>
        </w:rPr>
        <w:t></w:t>
      </w:r>
      <w:r>
        <w:rPr>
          <w:rFonts w:ascii="Times New Roman" w:hAnsi="Times New Roman" w:cs="Times New Roman"/>
          <w:color w:val="333333"/>
          <w:sz w:val="9"/>
          <w:szCs w:val="9"/>
        </w:rPr>
        <w:t>  </w:t>
      </w:r>
      <w:r>
        <w:rPr>
          <w:rFonts w:hint="eastAsia" w:cs="Helvetica"/>
          <w:color w:val="333333"/>
          <w:sz w:val="16"/>
          <w:szCs w:val="16"/>
        </w:rPr>
        <w:t>国际物流方向</w:t>
      </w:r>
    </w:p>
    <w:p>
      <w:pPr>
        <w:pStyle w:val="6"/>
        <w:shd w:val="clear" w:color="auto" w:fill="FFFFFF"/>
        <w:spacing w:before="0" w:beforeAutospacing="0" w:after="0" w:afterAutospacing="0"/>
        <w:ind w:left="840"/>
        <w:rPr>
          <w:rFonts w:ascii="Helvetica" w:hAnsi="Helvetica" w:cs="Helvetica"/>
          <w:color w:val="333333"/>
          <w:sz w:val="14"/>
          <w:szCs w:val="14"/>
        </w:rPr>
      </w:pPr>
      <w:r>
        <w:rPr>
          <w:rFonts w:ascii="Wingdings" w:hAnsi="Wingdings" w:cs="Helvetica"/>
          <w:color w:val="333333"/>
          <w:sz w:val="16"/>
          <w:szCs w:val="16"/>
        </w:rPr>
        <w:t></w:t>
      </w:r>
      <w:r>
        <w:rPr>
          <w:rFonts w:ascii="Times New Roman" w:hAnsi="Times New Roman" w:cs="Times New Roman"/>
          <w:color w:val="333333"/>
          <w:sz w:val="9"/>
          <w:szCs w:val="9"/>
        </w:rPr>
        <w:t>  </w:t>
      </w:r>
      <w:r>
        <w:rPr>
          <w:rFonts w:hint="eastAsia" w:cs="Helvetica"/>
          <w:color w:val="333333"/>
          <w:sz w:val="16"/>
          <w:szCs w:val="16"/>
        </w:rPr>
        <w:t>社会物流方向</w:t>
      </w:r>
    </w:p>
    <w:p>
      <w:pPr>
        <w:pStyle w:val="2"/>
        <w:shd w:val="clear" w:color="auto" w:fill="FFFFFF"/>
        <w:spacing w:before="0" w:beforeAutospacing="0" w:after="0" w:afterAutospacing="0"/>
        <w:ind w:firstLine="240"/>
        <w:rPr>
          <w:rFonts w:ascii="Helvetica" w:hAnsi="Helvetica" w:cs="Helvetica"/>
          <w:color w:val="333333"/>
          <w:sz w:val="14"/>
          <w:szCs w:val="14"/>
        </w:rPr>
      </w:pPr>
      <w:r>
        <w:rPr>
          <w:rFonts w:hint="eastAsia" w:cs="Helvetica"/>
          <w:color w:val="333333"/>
          <w:sz w:val="16"/>
          <w:szCs w:val="16"/>
        </w:rPr>
        <w:t>各校可根据自身特色定位，在充分论证的基础上，自设其他培养方向。教指委将定期发布统计性培养方向目录。</w:t>
      </w:r>
    </w:p>
    <w:p>
      <w:pPr>
        <w:pStyle w:val="2"/>
        <w:shd w:val="clear" w:color="auto" w:fill="FFFFFF"/>
        <w:spacing w:before="0" w:beforeAutospacing="0" w:after="0" w:afterAutospacing="0"/>
        <w:rPr>
          <w:rFonts w:ascii="Helvetica" w:hAnsi="Helvetica" w:cs="Helvetica"/>
          <w:color w:val="333333"/>
          <w:sz w:val="14"/>
          <w:szCs w:val="14"/>
        </w:rPr>
      </w:pPr>
      <w:r>
        <w:rPr>
          <w:rFonts w:hint="eastAsia" w:ascii="黑体" w:hAnsi="黑体" w:eastAsia="黑体" w:cs="Helvetica"/>
          <w:color w:val="333333"/>
          <w:sz w:val="16"/>
          <w:szCs w:val="16"/>
        </w:rPr>
        <w:t>五、学位论文</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参照教指委《工程管理硕士（MEM）专业学位论文标准与工作指南》和各培养单位有关要求执行。</w:t>
      </w:r>
    </w:p>
    <w:p>
      <w:pPr>
        <w:pStyle w:val="2"/>
        <w:shd w:val="clear" w:color="auto" w:fill="FFFFFF"/>
        <w:spacing w:before="0" w:beforeAutospacing="0" w:after="0" w:afterAutospacing="0"/>
        <w:rPr>
          <w:rFonts w:ascii="Helvetica" w:hAnsi="Helvetica" w:cs="Helvetica"/>
          <w:color w:val="333333"/>
          <w:sz w:val="14"/>
          <w:szCs w:val="14"/>
        </w:rPr>
      </w:pPr>
      <w:r>
        <w:rPr>
          <w:rFonts w:hint="eastAsia" w:ascii="黑体" w:hAnsi="黑体" w:eastAsia="黑体" w:cs="Helvetica"/>
          <w:color w:val="333333"/>
          <w:sz w:val="16"/>
          <w:szCs w:val="16"/>
        </w:rPr>
        <w:t>六、学位授予</w:t>
      </w:r>
    </w:p>
    <w:p>
      <w:pPr>
        <w:pStyle w:val="2"/>
        <w:shd w:val="clear" w:color="auto" w:fill="FFFFFF"/>
        <w:spacing w:before="0" w:beforeAutospacing="0" w:after="0" w:afterAutospacing="0"/>
        <w:ind w:firstLine="310"/>
        <w:rPr>
          <w:rFonts w:ascii="Helvetica" w:hAnsi="Helvetica" w:cs="Helvetica"/>
          <w:color w:val="333333"/>
          <w:sz w:val="14"/>
          <w:szCs w:val="14"/>
        </w:rPr>
      </w:pPr>
      <w:r>
        <w:rPr>
          <w:rFonts w:hint="eastAsia" w:cs="Helvetica"/>
          <w:color w:val="333333"/>
          <w:sz w:val="16"/>
          <w:szCs w:val="16"/>
        </w:rPr>
        <w:t>完成课程学习和实习实践等培养环节，取得规定学分，并通过学位论文答辩者，经学位授予单位学位评定委员会审核，授予工程管理硕士专业学位。</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02"/>
    <w:rsid w:val="001E5D02"/>
    <w:rsid w:val="00D662FA"/>
    <w:rsid w:val="18782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styleId="6">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7">
    <w:name w:val="date"/>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1345</Words>
  <Characters>1401</Characters>
  <Lines>10</Lines>
  <Paragraphs>2</Paragraphs>
  <TotalTime>1</TotalTime>
  <ScaleCrop>false</ScaleCrop>
  <LinksUpToDate>false</LinksUpToDate>
  <CharactersWithSpaces>1434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2021-10-11T06:39:00Z</dcterms:created>
  <dc:creator>罗格非</dc:creator>
  <cp:lastModifiedBy>sunhuiling</cp:lastModifiedBy>
  <dcterms:modified xsi:type="dcterms:W3CDTF">2023-06-01T06:35:23Z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63B6F4D996BD40019C73B76AFE1CED81_13</vt:lpwstr>
  </property>
</Properties>
</file>