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ind w:firstLine="562" w:firstLineChars="20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color w:val="0000FF"/>
          <w:sz w:val="28"/>
          <w:szCs w:val="28"/>
        </w:rPr>
        <w:t>武群丽</w:t>
      </w:r>
      <w:r>
        <w:rPr>
          <w:rFonts w:hint="eastAsia" w:ascii="楷体_GB2312" w:hAnsi="宋体" w:eastAsia="楷体_GB2312"/>
          <w:sz w:val="28"/>
          <w:szCs w:val="28"/>
        </w:rPr>
        <w:t>，女，1971年4月出生，汉。华北电力大学（保定）经济管理系教授，博士生导师，国家社会科学基金项目评审专家。</w:t>
      </w:r>
    </w:p>
    <w:p>
      <w:pPr>
        <w:pStyle w:val="2"/>
        <w:spacing w:before="0" w:beforeAutospacing="0" w:after="0" w:afterAutospacing="0" w:line="360" w:lineRule="auto"/>
        <w:ind w:firstLine="560" w:firstLineChars="20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1993年南开大学经济系本科毕业，获经济学学士学位；1997年河北农业大学经济系研究生毕业，获经济学硕士学位； 2004年中国社会科学院经济研究所博士毕业，获经济学博士学位。1993年-2004年任教于河北农业大学经济与贸易学院；2004年至今任教于华北电力大学（保定）经济管理系。</w:t>
      </w:r>
    </w:p>
    <w:p>
      <w:pPr>
        <w:pStyle w:val="2"/>
        <w:spacing w:before="0" w:beforeAutospacing="0" w:after="0" w:afterAutospacing="0" w:line="360" w:lineRule="auto"/>
        <w:ind w:firstLine="560" w:firstLineChars="20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迄今，在《</w:t>
      </w:r>
      <w:r>
        <w:rPr>
          <w:rFonts w:ascii="楷体_GB2312" w:hAnsi="宋体" w:eastAsia="楷体_GB2312"/>
          <w:sz w:val="28"/>
          <w:szCs w:val="28"/>
        </w:rPr>
        <w:t>E</w:t>
      </w:r>
      <w:r>
        <w:rPr>
          <w:rFonts w:hint="eastAsia" w:ascii="楷体_GB2312" w:hAnsi="宋体" w:eastAsia="楷体_GB2312"/>
          <w:sz w:val="28"/>
          <w:szCs w:val="28"/>
        </w:rPr>
        <w:t>n</w:t>
      </w:r>
      <w:r>
        <w:rPr>
          <w:rFonts w:ascii="楷体_GB2312" w:hAnsi="宋体" w:eastAsia="楷体_GB2312"/>
          <w:sz w:val="28"/>
          <w:szCs w:val="28"/>
        </w:rPr>
        <w:t>ergy</w:t>
      </w:r>
      <w:r>
        <w:rPr>
          <w:rFonts w:hint="eastAsia" w:ascii="楷体_GB2312" w:hAnsi="宋体" w:eastAsia="楷体_GB2312"/>
          <w:sz w:val="28"/>
          <w:szCs w:val="28"/>
        </w:rPr>
        <w:t>》、《S</w:t>
      </w:r>
      <w:r>
        <w:rPr>
          <w:rFonts w:ascii="楷体_GB2312" w:hAnsi="宋体" w:eastAsia="楷体_GB2312"/>
          <w:sz w:val="28"/>
          <w:szCs w:val="28"/>
        </w:rPr>
        <w:t>cience of the Total Environment</w:t>
      </w:r>
      <w:r>
        <w:rPr>
          <w:rFonts w:hint="eastAsia" w:ascii="楷体_GB2312" w:hAnsi="宋体" w:eastAsia="楷体_GB2312"/>
          <w:sz w:val="28"/>
          <w:szCs w:val="28"/>
        </w:rPr>
        <w:t>》、《</w:t>
      </w:r>
      <w:r>
        <w:rPr>
          <w:rFonts w:ascii="楷体_GB2312" w:hAnsi="宋体" w:eastAsia="楷体_GB2312"/>
          <w:sz w:val="28"/>
          <w:szCs w:val="28"/>
        </w:rPr>
        <w:t>Sustainable Cities and Society</w:t>
      </w:r>
      <w:r>
        <w:rPr>
          <w:rFonts w:hint="eastAsia" w:ascii="楷体_GB2312" w:hAnsi="宋体" w:eastAsia="楷体_GB2312"/>
          <w:sz w:val="28"/>
          <w:szCs w:val="28"/>
        </w:rPr>
        <w:t>》、</w:t>
      </w:r>
      <w:r>
        <w:rPr>
          <w:rFonts w:ascii="楷体_GB2312" w:hAnsi="宋体" w:eastAsia="楷体_GB2312"/>
          <w:sz w:val="28"/>
          <w:szCs w:val="28"/>
        </w:rPr>
        <w:t>《预测》</w:t>
      </w:r>
      <w:r>
        <w:rPr>
          <w:rFonts w:hint="eastAsia" w:ascii="楷体_GB2312" w:hAnsi="宋体" w:eastAsia="楷体_GB2312"/>
          <w:sz w:val="28"/>
          <w:szCs w:val="28"/>
        </w:rPr>
        <w:t>等</w:t>
      </w:r>
      <w:r>
        <w:rPr>
          <w:rFonts w:ascii="楷体_GB2312" w:hAnsi="宋体" w:eastAsia="楷体_GB2312"/>
          <w:sz w:val="28"/>
          <w:szCs w:val="28"/>
        </w:rPr>
        <w:t>国内</w:t>
      </w:r>
      <w:r>
        <w:rPr>
          <w:rFonts w:hint="eastAsia" w:ascii="楷体_GB2312" w:hAnsi="宋体" w:eastAsia="楷体_GB2312"/>
          <w:sz w:val="28"/>
          <w:szCs w:val="28"/>
        </w:rPr>
        <w:t>外</w:t>
      </w:r>
      <w:r>
        <w:rPr>
          <w:rFonts w:ascii="楷体_GB2312" w:hAnsi="宋体" w:eastAsia="楷体_GB2312"/>
          <w:sz w:val="28"/>
          <w:szCs w:val="28"/>
        </w:rPr>
        <w:t>权威期刊发表论文60余篇，出版学术专著</w:t>
      </w:r>
      <w:r>
        <w:rPr>
          <w:rFonts w:hint="eastAsia" w:ascii="楷体_GB2312" w:hAnsi="宋体" w:eastAsia="楷体_GB2312"/>
          <w:sz w:val="28"/>
          <w:szCs w:val="28"/>
        </w:rPr>
        <w:t>5</w:t>
      </w:r>
      <w:r>
        <w:rPr>
          <w:rFonts w:ascii="楷体_GB2312" w:hAnsi="宋体" w:eastAsia="楷体_GB2312"/>
          <w:sz w:val="28"/>
          <w:szCs w:val="28"/>
        </w:rPr>
        <w:t>部</w:t>
      </w:r>
      <w:r>
        <w:rPr>
          <w:rFonts w:hint="eastAsia" w:ascii="楷体_GB2312" w:hAnsi="宋体" w:eastAsia="楷体_GB2312"/>
          <w:sz w:val="28"/>
          <w:szCs w:val="28"/>
        </w:rPr>
        <w:t>，主编省级规划教材3部</w:t>
      </w:r>
      <w:r>
        <w:rPr>
          <w:rFonts w:ascii="楷体_GB2312" w:hAnsi="宋体" w:eastAsia="楷体_GB2312"/>
          <w:sz w:val="28"/>
          <w:szCs w:val="28"/>
        </w:rPr>
        <w:t>。主持</w:t>
      </w:r>
      <w:r>
        <w:rPr>
          <w:rFonts w:hint="eastAsia" w:ascii="楷体_GB2312" w:hAnsi="宋体" w:eastAsia="楷体_GB2312"/>
          <w:sz w:val="28"/>
          <w:szCs w:val="28"/>
        </w:rPr>
        <w:t>、参与</w:t>
      </w:r>
      <w:r>
        <w:rPr>
          <w:rFonts w:ascii="楷体_GB2312" w:hAnsi="宋体" w:eastAsia="楷体_GB2312"/>
          <w:sz w:val="28"/>
          <w:szCs w:val="28"/>
        </w:rPr>
        <w:t>国家</w:t>
      </w:r>
      <w:r>
        <w:rPr>
          <w:rFonts w:hint="eastAsia" w:ascii="楷体_GB2312" w:hAnsi="宋体" w:eastAsia="楷体_GB2312"/>
          <w:sz w:val="28"/>
          <w:szCs w:val="28"/>
        </w:rPr>
        <w:t>社会科学</w:t>
      </w:r>
      <w:r>
        <w:rPr>
          <w:rFonts w:ascii="楷体_GB2312" w:hAnsi="宋体" w:eastAsia="楷体_GB2312"/>
          <w:sz w:val="28"/>
          <w:szCs w:val="28"/>
        </w:rPr>
        <w:t>基金项目、</w:t>
      </w:r>
      <w:r>
        <w:rPr>
          <w:rFonts w:hint="eastAsia" w:ascii="楷体_GB2312" w:hAnsi="宋体" w:eastAsia="楷体_GB2312"/>
          <w:sz w:val="28"/>
          <w:szCs w:val="28"/>
        </w:rPr>
        <w:t>国家自然科学基金项目、</w:t>
      </w:r>
      <w:r>
        <w:rPr>
          <w:rFonts w:ascii="楷体_GB2312" w:hAnsi="宋体" w:eastAsia="楷体_GB2312"/>
          <w:sz w:val="28"/>
          <w:szCs w:val="28"/>
        </w:rPr>
        <w:t>教育部人文社科基金项目及</w:t>
      </w:r>
      <w:r>
        <w:rPr>
          <w:rFonts w:hint="eastAsia" w:ascii="楷体_GB2312" w:hAnsi="宋体" w:eastAsia="楷体_GB2312"/>
          <w:sz w:val="28"/>
          <w:szCs w:val="28"/>
        </w:rPr>
        <w:t>其他各类</w:t>
      </w:r>
      <w:r>
        <w:rPr>
          <w:rFonts w:ascii="楷体_GB2312" w:hAnsi="宋体" w:eastAsia="楷体_GB2312"/>
          <w:sz w:val="28"/>
          <w:szCs w:val="28"/>
        </w:rPr>
        <w:t>省</w:t>
      </w:r>
      <w:r>
        <w:rPr>
          <w:rFonts w:hint="eastAsia" w:ascii="楷体_GB2312" w:hAnsi="宋体" w:eastAsia="楷体_GB2312"/>
          <w:sz w:val="28"/>
          <w:szCs w:val="28"/>
        </w:rPr>
        <w:t>、市</w:t>
      </w:r>
      <w:r>
        <w:rPr>
          <w:rFonts w:ascii="楷体_GB2312" w:hAnsi="宋体" w:eastAsia="楷体_GB2312"/>
          <w:sz w:val="28"/>
          <w:szCs w:val="28"/>
        </w:rPr>
        <w:t>级科研项目20</w:t>
      </w:r>
      <w:r>
        <w:rPr>
          <w:rFonts w:hint="eastAsia" w:ascii="楷体_GB2312" w:hAnsi="宋体" w:eastAsia="楷体_GB2312"/>
          <w:sz w:val="28"/>
          <w:szCs w:val="28"/>
        </w:rPr>
        <w:t>余</w:t>
      </w:r>
      <w:r>
        <w:rPr>
          <w:rFonts w:ascii="楷体_GB2312" w:hAnsi="宋体" w:eastAsia="楷体_GB2312"/>
          <w:sz w:val="28"/>
          <w:szCs w:val="28"/>
        </w:rPr>
        <w:t>项</w:t>
      </w:r>
      <w:r>
        <w:rPr>
          <w:rFonts w:hint="eastAsia" w:ascii="楷体_GB2312" w:hAnsi="宋体" w:eastAsia="楷体_GB2312"/>
          <w:sz w:val="28"/>
          <w:szCs w:val="28"/>
        </w:rPr>
        <w:t>，分别获得河北省社科优秀成果二等奖、三等奖，保定市社科优秀成果一等奖等多项科研奖励。</w:t>
      </w:r>
    </w:p>
    <w:p>
      <w:pPr>
        <w:pStyle w:val="2"/>
        <w:spacing w:before="0" w:beforeAutospacing="0" w:after="0" w:afterAutospacing="0" w:line="360" w:lineRule="auto"/>
        <w:ind w:firstLine="560" w:firstLineChars="200"/>
        <w:rPr>
          <w:rFonts w:ascii="楷体_GB2312" w:hAnsi="宋体" w:eastAsia="楷体_GB2312"/>
          <w:sz w:val="28"/>
          <w:szCs w:val="28"/>
        </w:rPr>
      </w:pPr>
      <w:r>
        <w:rPr>
          <w:rFonts w:ascii="楷体_GB2312" w:hAnsi="宋体" w:eastAsia="楷体_GB2312"/>
          <w:sz w:val="28"/>
          <w:szCs w:val="28"/>
        </w:rPr>
        <w:t>主要研究</w:t>
      </w:r>
      <w:r>
        <w:rPr>
          <w:rFonts w:hint="eastAsia" w:ascii="楷体_GB2312" w:hAnsi="宋体" w:eastAsia="楷体_GB2312"/>
          <w:sz w:val="28"/>
          <w:szCs w:val="28"/>
        </w:rPr>
        <w:t>方向</w:t>
      </w:r>
      <w:r>
        <w:rPr>
          <w:rFonts w:ascii="楷体_GB2312" w:hAnsi="宋体" w:eastAsia="楷体_GB2312"/>
          <w:sz w:val="28"/>
          <w:szCs w:val="28"/>
        </w:rPr>
        <w:t>涉及</w:t>
      </w:r>
      <w:r>
        <w:rPr>
          <w:rFonts w:hint="eastAsia" w:ascii="楷体_GB2312" w:hAnsi="宋体" w:eastAsia="楷体_GB2312"/>
          <w:sz w:val="28"/>
          <w:szCs w:val="28"/>
        </w:rPr>
        <w:t>能源经济与可持续增长，低碳发展与环境政策等。</w:t>
      </w:r>
    </w:p>
    <w:p>
      <w:pPr>
        <w:pStyle w:val="2"/>
        <w:spacing w:before="0" w:beforeAutospacing="0" w:after="0" w:afterAutospacing="0" w:line="360" w:lineRule="auto"/>
        <w:ind w:firstLine="560" w:firstLineChars="20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联系电话：0312-7525122；</w:t>
      </w:r>
    </w:p>
    <w:p>
      <w:pPr>
        <w:pStyle w:val="2"/>
        <w:spacing w:before="0" w:beforeAutospacing="0" w:after="0" w:afterAutospacing="0" w:line="360" w:lineRule="auto"/>
        <w:ind w:firstLine="560" w:firstLineChars="20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E-mail</w:t>
      </w:r>
      <w:r>
        <w:rPr>
          <w:rFonts w:ascii="楷体_GB2312" w:hAnsi="宋体" w:eastAsia="楷体_GB2312"/>
          <w:sz w:val="28"/>
          <w:szCs w:val="28"/>
        </w:rPr>
        <w:t>: ①</w:t>
      </w:r>
      <w:r>
        <w:rPr>
          <w:rFonts w:ascii="楷体_GB2312" w:hAnsi="宋体" w:eastAsia="楷体_GB2312"/>
          <w:sz w:val="28"/>
          <w:szCs w:val="28"/>
        </w:rPr>
        <w:fldChar w:fldCharType="begin"/>
      </w:r>
      <w:r>
        <w:rPr>
          <w:rFonts w:ascii="楷体_GB2312" w:hAnsi="宋体" w:eastAsia="楷体_GB2312"/>
          <w:sz w:val="28"/>
          <w:szCs w:val="28"/>
        </w:rPr>
        <w:instrText xml:space="preserve"> HYPERLINK "mailto:wuqunli2002@aliyun.com" </w:instrText>
      </w:r>
      <w:r>
        <w:rPr>
          <w:rFonts w:ascii="楷体_GB2312" w:hAnsi="宋体" w:eastAsia="楷体_GB2312"/>
          <w:sz w:val="28"/>
          <w:szCs w:val="28"/>
        </w:rPr>
        <w:fldChar w:fldCharType="separate"/>
      </w:r>
      <w:r>
        <w:rPr>
          <w:rFonts w:ascii="楷体_GB2312" w:hAnsi="宋体" w:eastAsia="楷体_GB2312"/>
          <w:sz w:val="28"/>
          <w:szCs w:val="28"/>
        </w:rPr>
        <w:t>wuqunli2002@aliyun.com</w:t>
      </w:r>
      <w:r>
        <w:rPr>
          <w:rFonts w:ascii="楷体_GB2312" w:hAnsi="宋体" w:eastAsia="楷体_GB2312"/>
          <w:sz w:val="28"/>
          <w:szCs w:val="28"/>
        </w:rPr>
        <w:fldChar w:fldCharType="end"/>
      </w:r>
      <w:r>
        <w:rPr>
          <w:rFonts w:hint="eastAsia" w:ascii="楷体_GB2312" w:hAnsi="宋体" w:eastAsia="楷体_GB2312"/>
          <w:sz w:val="28"/>
          <w:szCs w:val="28"/>
        </w:rPr>
        <w:t>；</w:t>
      </w:r>
    </w:p>
    <w:p>
      <w:pPr>
        <w:pStyle w:val="2"/>
        <w:spacing w:before="0" w:beforeAutospacing="0" w:after="0" w:afterAutospacing="0" w:line="360" w:lineRule="auto"/>
        <w:ind w:firstLine="1680" w:firstLineChars="600"/>
        <w:rPr>
          <w:rFonts w:hint="eastAsia" w:ascii="楷体_GB2312" w:hAnsi="宋体" w:eastAsia="楷体_GB2312"/>
          <w:sz w:val="28"/>
          <w:szCs w:val="28"/>
        </w:rPr>
      </w:pPr>
      <w:bookmarkStart w:id="0" w:name="_GoBack"/>
      <w:bookmarkEnd w:id="0"/>
      <w:r>
        <w:rPr>
          <w:rFonts w:ascii="楷体_GB2312" w:hAnsi="宋体" w:eastAsia="楷体_GB2312"/>
          <w:sz w:val="28"/>
          <w:szCs w:val="28"/>
        </w:rPr>
        <w:t>②</w:t>
      </w:r>
      <w:r>
        <w:rPr>
          <w:rFonts w:hint="eastAsia" w:ascii="楷体_GB2312" w:hAnsi="宋体" w:eastAsia="楷体_GB2312"/>
          <w:sz w:val="28"/>
          <w:szCs w:val="28"/>
        </w:rPr>
        <w:t>51851220@ncepu</w:t>
      </w:r>
      <w:r>
        <w:rPr>
          <w:rFonts w:ascii="楷体_GB2312" w:hAnsi="宋体" w:eastAsia="楷体_GB2312"/>
          <w:sz w:val="28"/>
          <w:szCs w:val="28"/>
        </w:rPr>
        <w:t>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3C"/>
    <w:rsid w:val="00001D3C"/>
    <w:rsid w:val="0015149C"/>
    <w:rsid w:val="001E2078"/>
    <w:rsid w:val="00334A0D"/>
    <w:rsid w:val="003751F5"/>
    <w:rsid w:val="004D7EF4"/>
    <w:rsid w:val="006B5571"/>
    <w:rsid w:val="00815AB3"/>
    <w:rsid w:val="009F0845"/>
    <w:rsid w:val="00B8255A"/>
    <w:rsid w:val="00F14FEF"/>
    <w:rsid w:val="4405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494</Characters>
  <Lines>4</Lines>
  <Paragraphs>1</Paragraphs>
  <TotalTime>47</TotalTime>
  <ScaleCrop>false</ScaleCrop>
  <LinksUpToDate>false</LinksUpToDate>
  <CharactersWithSpaces>579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2019-09-13T23:29:00Z</dcterms:created>
  <dc:creator>Administrator</dc:creator>
  <cp:lastModifiedBy>tarring</cp:lastModifiedBy>
  <cp:lastPrinted>2019-09-13T23:37:00Z</cp:lastPrinted>
  <dcterms:modified xsi:type="dcterms:W3CDTF">2019-09-25T02:41:56Z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